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43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proofErr w:type="spellStart"/>
      <w:r w:rsidR="000A439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>hkencave</w:t>
      </w:r>
      <w:proofErr w:type="spellEnd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439E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>plikuara</w:t>
      </w:r>
      <w:proofErr w:type="spellEnd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Nysa</w:t>
      </w:r>
      <w:r w:rsidR="001D11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>Poloni</w:t>
      </w:r>
      <w:proofErr w:type="spellEnd"/>
      <w:r w:rsidR="00225D5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E01AD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A841B3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39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0A43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5D57">
        <w:rPr>
          <w:rFonts w:ascii="Times New Roman" w:eastAsia="Times New Roman" w:hAnsi="Times New Roman" w:cs="Times New Roman"/>
          <w:sz w:val="24"/>
          <w:szCs w:val="24"/>
        </w:rPr>
        <w:t>hkencave</w:t>
      </w:r>
      <w:proofErr w:type="spellEnd"/>
      <w:r w:rsidR="0022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5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3D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3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3192">
        <w:rPr>
          <w:rFonts w:ascii="Times New Roman" w:eastAsia="Times New Roman" w:hAnsi="Times New Roman" w:cs="Times New Roman"/>
          <w:sz w:val="24"/>
          <w:szCs w:val="24"/>
        </w:rPr>
        <w:t>plikuara</w:t>
      </w:r>
      <w:proofErr w:type="spellEnd"/>
      <w:r w:rsidR="003D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19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D3192">
        <w:rPr>
          <w:rFonts w:ascii="Times New Roman" w:eastAsia="Times New Roman" w:hAnsi="Times New Roman" w:cs="Times New Roman"/>
          <w:sz w:val="24"/>
          <w:szCs w:val="24"/>
        </w:rPr>
        <w:t xml:space="preserve"> Nysa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57">
        <w:rPr>
          <w:rFonts w:ascii="Times New Roman" w:eastAsia="Times New Roman" w:hAnsi="Times New Roman" w:cs="Times New Roman"/>
          <w:sz w:val="24"/>
          <w:szCs w:val="24"/>
        </w:rPr>
        <w:t>Poloni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9976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Pr="00885433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37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(1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F700B6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62315" w:rsidRPr="00885433" w:rsidRDefault="00374C9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8543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-      </w:t>
      </w:r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Master (</w:t>
      </w:r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C9F" w:rsidRPr="00374C9F" w:rsidRDefault="00374C9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Arkitekturë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4C73">
        <w:rPr>
          <w:rFonts w:ascii="Times New Roman" w:eastAsia="Times New Roman" w:hAnsi="Times New Roman" w:cs="Times New Roman"/>
          <w:b/>
          <w:sz w:val="24"/>
          <w:szCs w:val="24"/>
        </w:rPr>
        <w:t>Inxhinieri</w:t>
      </w:r>
      <w:proofErr w:type="spellEnd"/>
      <w:r w:rsidR="00D34C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4C73">
        <w:rPr>
          <w:rFonts w:ascii="Times New Roman" w:eastAsia="Times New Roman" w:hAnsi="Times New Roman" w:cs="Times New Roman"/>
          <w:b/>
          <w:sz w:val="24"/>
          <w:szCs w:val="24"/>
        </w:rPr>
        <w:t>Ndërtimi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2315" w:rsidRP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Bachelor,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="00912C4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7AF4" w:rsidRDefault="00317AF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7AF4" w:rsidRDefault="00317AF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7AF4" w:rsidRDefault="00317AF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AD020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="007B40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A43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 </w:t>
      </w:r>
      <w:proofErr w:type="spellStart"/>
      <w:r w:rsidR="000A43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Shkencave</w:t>
      </w:r>
      <w:proofErr w:type="spellEnd"/>
      <w:r w:rsidR="000A43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0A43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0A43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0A43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="007B40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plikuara</w:t>
      </w:r>
      <w:proofErr w:type="spellEnd"/>
      <w:r w:rsidR="007B40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40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7B40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Nysa,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42C51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2C51" w:rsidRPr="00CC18D5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="0053538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B45C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F700B6" w:rsidRPr="00942C51" w:rsidRDefault="00B62ADD" w:rsidP="00137790">
      <w:pPr>
        <w:spacing w:before="100" w:beforeAutospacing="1" w:after="0" w:line="240" w:lineRule="auto"/>
        <w:jc w:val="both"/>
        <w:rPr>
          <w:rStyle w:val="Hyperlink"/>
          <w:i/>
          <w:iCs/>
          <w:sz w:val="20"/>
          <w:szCs w:val="20"/>
        </w:rPr>
      </w:pPr>
      <w:hyperlink r:id="rId7" w:history="1">
        <w:r w:rsidR="00942C51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</w:t>
        </w:r>
        <w:bookmarkStart w:id="0" w:name="_GoBack"/>
        <w:bookmarkEnd w:id="0"/>
        <w:r w:rsidR="00942C51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agreement_en</w:t>
        </w:r>
      </w:hyperlink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51" w:rsidRPr="00942C51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2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deri</w:t>
      </w:r>
      <w:proofErr w:type="spellEnd"/>
      <w:r w:rsidR="0072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2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më</w:t>
      </w:r>
      <w:proofErr w:type="spellEnd"/>
      <w:r w:rsidR="0072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0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="0072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2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Nënt</w:t>
      </w:r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2019</w:t>
      </w: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C5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C51"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259B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</w:p>
    <w:sectPr w:rsidR="006E01AD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D" w:rsidRDefault="00B62ADD" w:rsidP="0070301F">
      <w:pPr>
        <w:spacing w:after="0" w:line="240" w:lineRule="auto"/>
      </w:pPr>
      <w:r>
        <w:separator/>
      </w:r>
    </w:p>
  </w:endnote>
  <w:endnote w:type="continuationSeparator" w:id="0">
    <w:p w:rsidR="00B62ADD" w:rsidRDefault="00B62ADD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D" w:rsidRDefault="00B62ADD" w:rsidP="0070301F">
      <w:pPr>
        <w:spacing w:after="0" w:line="240" w:lineRule="auto"/>
      </w:pPr>
      <w:r>
        <w:separator/>
      </w:r>
    </w:p>
  </w:footnote>
  <w:footnote w:type="continuationSeparator" w:id="0">
    <w:p w:rsidR="00B62ADD" w:rsidRDefault="00B62ADD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A439E"/>
    <w:rsid w:val="000C31BF"/>
    <w:rsid w:val="000C68C0"/>
    <w:rsid w:val="000E416E"/>
    <w:rsid w:val="00137790"/>
    <w:rsid w:val="001D1175"/>
    <w:rsid w:val="001E1301"/>
    <w:rsid w:val="00211D11"/>
    <w:rsid w:val="00225D57"/>
    <w:rsid w:val="00233AF3"/>
    <w:rsid w:val="00266CD9"/>
    <w:rsid w:val="002B3A80"/>
    <w:rsid w:val="002B43F7"/>
    <w:rsid w:val="002E56F2"/>
    <w:rsid w:val="003028EF"/>
    <w:rsid w:val="00317AF4"/>
    <w:rsid w:val="00321B28"/>
    <w:rsid w:val="003746E4"/>
    <w:rsid w:val="00374C9F"/>
    <w:rsid w:val="00377FDD"/>
    <w:rsid w:val="003D3192"/>
    <w:rsid w:val="003F3BAD"/>
    <w:rsid w:val="00473E4B"/>
    <w:rsid w:val="00527624"/>
    <w:rsid w:val="0053538D"/>
    <w:rsid w:val="005407FD"/>
    <w:rsid w:val="00551BD4"/>
    <w:rsid w:val="00577E2F"/>
    <w:rsid w:val="00584290"/>
    <w:rsid w:val="00584DF9"/>
    <w:rsid w:val="005A1C10"/>
    <w:rsid w:val="006220AD"/>
    <w:rsid w:val="00644D07"/>
    <w:rsid w:val="00674BC4"/>
    <w:rsid w:val="006E01AD"/>
    <w:rsid w:val="0070301F"/>
    <w:rsid w:val="00705BEA"/>
    <w:rsid w:val="007243C6"/>
    <w:rsid w:val="00724AAA"/>
    <w:rsid w:val="00797EFF"/>
    <w:rsid w:val="007B40B6"/>
    <w:rsid w:val="007D012D"/>
    <w:rsid w:val="007F6479"/>
    <w:rsid w:val="00856F52"/>
    <w:rsid w:val="00862315"/>
    <w:rsid w:val="00885433"/>
    <w:rsid w:val="008A259B"/>
    <w:rsid w:val="008E6281"/>
    <w:rsid w:val="009008F6"/>
    <w:rsid w:val="00912C41"/>
    <w:rsid w:val="009306ED"/>
    <w:rsid w:val="00936962"/>
    <w:rsid w:val="00937B0B"/>
    <w:rsid w:val="00942C51"/>
    <w:rsid w:val="00997603"/>
    <w:rsid w:val="009A6D44"/>
    <w:rsid w:val="009E3F11"/>
    <w:rsid w:val="00A132FA"/>
    <w:rsid w:val="00A45D3E"/>
    <w:rsid w:val="00A75125"/>
    <w:rsid w:val="00A841B3"/>
    <w:rsid w:val="00AC4354"/>
    <w:rsid w:val="00AD020C"/>
    <w:rsid w:val="00B45C9D"/>
    <w:rsid w:val="00B62ADD"/>
    <w:rsid w:val="00BC4E3C"/>
    <w:rsid w:val="00C222A0"/>
    <w:rsid w:val="00C25C16"/>
    <w:rsid w:val="00C373AC"/>
    <w:rsid w:val="00C54E5A"/>
    <w:rsid w:val="00CC18D5"/>
    <w:rsid w:val="00CF6AFF"/>
    <w:rsid w:val="00D01B5D"/>
    <w:rsid w:val="00D34C73"/>
    <w:rsid w:val="00D4729C"/>
    <w:rsid w:val="00D504E1"/>
    <w:rsid w:val="00D67871"/>
    <w:rsid w:val="00D90E3E"/>
    <w:rsid w:val="00E046B6"/>
    <w:rsid w:val="00E56C00"/>
    <w:rsid w:val="00EA1E71"/>
    <w:rsid w:val="00EA6015"/>
    <w:rsid w:val="00F27695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40</cp:revision>
  <cp:lastPrinted>2019-10-29T09:04:00Z</cp:lastPrinted>
  <dcterms:created xsi:type="dcterms:W3CDTF">2019-09-30T11:43:00Z</dcterms:created>
  <dcterms:modified xsi:type="dcterms:W3CDTF">2019-10-29T09:14:00Z</dcterms:modified>
</cp:coreProperties>
</file>